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350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</w:t>
      </w:r>
      <w:r>
        <w:rPr>
          <w:rFonts w:ascii="Times New Roman" w:eastAsia="Times New Roman" w:hAnsi="Times New Roman" w:cs="Times New Roman"/>
          <w:sz w:val="26"/>
          <w:szCs w:val="26"/>
        </w:rPr>
        <w:t>овой судья судебного участка № 4 Нефтеюганского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Зайцева Алексея Федоровича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«ГФП»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UserDefinedgrp-3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4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4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 С Т А Н О В И Л:</w:t>
      </w:r>
    </w:p>
    <w:p>
      <w:pPr>
        <w:spacing w:before="0" w:after="0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Зайцев А.Ф.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«ГФП»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находящемся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ХМАО-Югра, г. Нефтеюганск,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eastAsia="Times New Roman" w:hAnsi="Times New Roman" w:cs="Times New Roman"/>
          <w:sz w:val="25"/>
          <w:szCs w:val="25"/>
        </w:rPr>
        <w:t>Кедровая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стр. 112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своевременно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установленный законодательством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4 квартал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</w:t>
      </w:r>
      <w:r>
        <w:rPr>
          <w:rFonts w:ascii="Times New Roman" w:eastAsia="Times New Roman" w:hAnsi="Times New Roman" w:cs="Times New Roman"/>
          <w:sz w:val="26"/>
          <w:szCs w:val="26"/>
        </w:rPr>
        <w:t>ст. 17, ст. 19,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24.07.1998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-ФЗ </w:t>
      </w:r>
      <w:r>
        <w:rPr>
          <w:rFonts w:ascii="Times New Roman" w:eastAsia="Times New Roman" w:hAnsi="Times New Roman" w:cs="Times New Roman"/>
          <w:sz w:val="26"/>
          <w:szCs w:val="26"/>
        </w:rPr>
        <w:t>«О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Зайцев А.Ф.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Зайцева А.Ф.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его отсутствие.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Зайцева А.Ф.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7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Зайцев А.Ф.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своевременно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установленный законодательством РФ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4 квартал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выпиской из Единого государственного реестра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юридических лиц.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</w:t>
      </w:r>
      <w:r>
        <w:rPr>
          <w:rFonts w:ascii="Times New Roman" w:eastAsia="Times New Roman" w:hAnsi="Times New Roman" w:cs="Times New Roman"/>
          <w:sz w:val="26"/>
          <w:szCs w:val="26"/>
        </w:rPr>
        <w:t>качестве страхователя, в случаях,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12505/entry/6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абзацами третьим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12505/entry/6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четвертым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12505/entry/6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пятым части первой статьи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77515/entry/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от 27 июля 2010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п. 1 ст. 24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трахователи ежеквартально представляют в установленном порядке территориальному органу страховщика по месту их регистрации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404770123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Страхователи, у которых численность физических лиц, в пользу которых производятся выплаты и иные вознаграждения, за предшествующий расчетный период превышает 10 человек, и вновь созданные (в том числе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 страховым взносам в территориальный орган страховщика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73316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форматам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 в порядке, которые установлены страховщиком, в форме электронных документов, подписанных усиленной квалифицированной электронной подписью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84522/entry/5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от 6 апреля 2011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63-ФЗ "Об электронной подписи". Страхователи и вновь созданные (в том числе при реорганизации) организации, у которых численность физических лиц, в пользу которых производятся выплаты и иные вознаграждения, за предшествующий расчетный период составляет 10 человек и менее, вправе представлять расчеты по начисленным и уплаченным страховым взносам в форме электронных документов в соответствии с требованиями настоящего пункта. При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подтверждения приема указанных расчетов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Зайцев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Зайцев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«ГФП»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Зайцева Алексея Федоровича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8601002078, КПП 860101001, УФК по </w:t>
      </w:r>
      <w:r>
        <w:rPr>
          <w:rFonts w:ascii="Times New Roman" w:eastAsia="Times New Roman" w:hAnsi="Times New Roman" w:cs="Times New Roman"/>
          <w:sz w:val="26"/>
          <w:szCs w:val="26"/>
        </w:rPr>
        <w:t>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-Югре (ОСФР по ХМАО-Югре, л/с 04874Ф87010), ОКТМО 71871000.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ЕКС 40102810245370000007,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Казначейский счет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03100643000000018700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ОКЦ №8 УГУ Центрального банка РФ//ОКЦ № 8 Уральского ГУ Банка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szCs w:val="26"/>
        </w:rPr>
        <w:t>047162000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79711601230060003140.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Административные штрафы, предусмотренные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КоАП, ФИО.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79786003103260130436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АП.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PassportDatagrp-24rplc-12">
    <w:name w:val="cat-PassportData grp-24 rplc-12"/>
    <w:basedOn w:val="DefaultParagraphFont"/>
  </w:style>
  <w:style w:type="character" w:customStyle="1" w:styleId="cat-ExternalSystemDefinedgrp-32rplc-13">
    <w:name w:val="cat-ExternalSystemDefined grp-32 rplc-13"/>
    <w:basedOn w:val="DefaultParagraphFont"/>
  </w:style>
  <w:style w:type="character" w:customStyle="1" w:styleId="cat-ExternalSystemDefinedgrp-34rplc-14">
    <w:name w:val="cat-ExternalSystemDefined grp-34 rplc-14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7rplc-30">
    <w:name w:val="cat-UserDefined grp-37 rplc-30"/>
    <w:basedOn w:val="DefaultParagraphFont"/>
  </w:style>
  <w:style w:type="character" w:customStyle="1" w:styleId="cat-UserDefinedgrp-38rplc-50">
    <w:name w:val="cat-UserDefined grp-38 rplc-50"/>
    <w:basedOn w:val="DefaultParagraphFont"/>
  </w:style>
  <w:style w:type="character" w:customStyle="1" w:styleId="cat-UserDefinedgrp-39rplc-53">
    <w:name w:val="cat-UserDefined grp-39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